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3C" w:rsidRDefault="0098203C" w:rsidP="006C7060">
      <w:pPr>
        <w:rPr>
          <w:sz w:val="36"/>
          <w:szCs w:val="36"/>
        </w:rPr>
      </w:pPr>
    </w:p>
    <w:p w:rsidR="0098203C" w:rsidRDefault="0098203C" w:rsidP="0098203C">
      <w:pPr>
        <w:jc w:val="center"/>
      </w:pPr>
    </w:p>
    <w:p w:rsidR="0098203C" w:rsidRPr="0098203C" w:rsidRDefault="0098203C" w:rsidP="0098203C">
      <w:pPr>
        <w:jc w:val="center"/>
        <w:rPr>
          <w:sz w:val="72"/>
          <w:szCs w:val="72"/>
        </w:rPr>
      </w:pPr>
      <w:r w:rsidRPr="0098203C">
        <w:rPr>
          <w:sz w:val="72"/>
          <w:szCs w:val="72"/>
        </w:rPr>
        <w:t>Banner Finance User Guide</w:t>
      </w:r>
    </w:p>
    <w:p w:rsidR="0098203C" w:rsidRDefault="0098203C" w:rsidP="0098203C">
      <w:pPr>
        <w:jc w:val="center"/>
      </w:pPr>
    </w:p>
    <w:p w:rsidR="0098203C" w:rsidRDefault="0098203C" w:rsidP="0098203C">
      <w:pPr>
        <w:jc w:val="center"/>
      </w:pPr>
    </w:p>
    <w:p w:rsidR="0098203C" w:rsidRDefault="0098203C" w:rsidP="0098203C">
      <w:pPr>
        <w:jc w:val="center"/>
      </w:pPr>
    </w:p>
    <w:p w:rsidR="0098203C" w:rsidRDefault="0098203C" w:rsidP="0098203C">
      <w:pPr>
        <w:jc w:val="center"/>
      </w:pPr>
    </w:p>
    <w:p w:rsidR="0098203C" w:rsidRDefault="0098203C" w:rsidP="0098203C">
      <w:pPr>
        <w:jc w:val="center"/>
      </w:pPr>
      <w:r>
        <w:rPr>
          <w:b/>
          <w:noProof/>
          <w:sz w:val="40"/>
        </w:rPr>
        <w:drawing>
          <wp:inline distT="0" distB="0" distL="0" distR="0" wp14:anchorId="557CBAC7" wp14:editId="2D163571">
            <wp:extent cx="3028950" cy="3067050"/>
            <wp:effectExtent l="0" t="0" r="0" b="0"/>
            <wp:docPr id="1" name="Picture 1" descr="CU-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8950" cy="3067050"/>
                    </a:xfrm>
                    <a:prstGeom prst="rect">
                      <a:avLst/>
                    </a:prstGeom>
                    <a:noFill/>
                    <a:ln>
                      <a:noFill/>
                    </a:ln>
                  </pic:spPr>
                </pic:pic>
              </a:graphicData>
            </a:graphic>
          </wp:inline>
        </w:drawing>
      </w:r>
      <w:bookmarkStart w:id="0" w:name="_GoBack"/>
      <w:bookmarkEnd w:id="0"/>
    </w:p>
    <w:p w:rsidR="0098203C" w:rsidRDefault="0098203C">
      <w:pPr>
        <w:rPr>
          <w:sz w:val="36"/>
          <w:szCs w:val="36"/>
        </w:rPr>
      </w:pPr>
      <w:r>
        <w:rPr>
          <w:sz w:val="36"/>
          <w:szCs w:val="36"/>
        </w:rPr>
        <w:br w:type="page"/>
      </w:r>
    </w:p>
    <w:p w:rsidR="00EE5940" w:rsidRPr="00EE5940" w:rsidRDefault="00EE5940" w:rsidP="006C7060">
      <w:pPr>
        <w:rPr>
          <w:sz w:val="36"/>
          <w:szCs w:val="36"/>
        </w:rPr>
      </w:pPr>
      <w:r w:rsidRPr="00EE5940">
        <w:rPr>
          <w:sz w:val="36"/>
          <w:szCs w:val="36"/>
        </w:rPr>
        <w:lastRenderedPageBreak/>
        <w:t>Banner Finance</w:t>
      </w:r>
    </w:p>
    <w:p w:rsidR="00967E55" w:rsidRDefault="00EE5940" w:rsidP="006C7060">
      <w:r>
        <w:t>This user guide and reference is intended to help Colgate employees navigate the Banner Financial system and maximize the usefulness of their financial reports. Our goal is to make Banner as user-friendly as possible and the following information is a helpful guide to get you started. If you have any questions, please contact the Budget office for further assistance.</w:t>
      </w:r>
    </w:p>
    <w:p w:rsidR="00901F06" w:rsidRDefault="00901F06" w:rsidP="006C7060"/>
    <w:p w:rsidR="006C7060" w:rsidRPr="00114121" w:rsidRDefault="00114121" w:rsidP="006C7060">
      <w:pPr>
        <w:rPr>
          <w:b/>
        </w:rPr>
      </w:pPr>
      <w:r w:rsidRPr="00114121">
        <w:rPr>
          <w:b/>
        </w:rPr>
        <w:t>Chart of Accounts</w:t>
      </w:r>
    </w:p>
    <w:p w:rsidR="00DC645A" w:rsidRDefault="00022E6F" w:rsidP="006C7060">
      <w:r>
        <w:t>The listing of each element in our Banner financial reporting system is called the chart of accounts. At Colgate, the chart of accounts is represented by the letter “C”.</w:t>
      </w:r>
    </w:p>
    <w:p w:rsidR="0071345F" w:rsidRDefault="0071345F" w:rsidP="006C7060">
      <w:r>
        <w:t xml:space="preserve">A commonly used term describing the </w:t>
      </w:r>
      <w:r w:rsidR="00022E6F">
        <w:t>chart of a</w:t>
      </w:r>
      <w:r>
        <w:t xml:space="preserve">ccounts (COA) is the </w:t>
      </w:r>
      <w:r w:rsidR="00EE5940">
        <w:t xml:space="preserve">FOAPAL. The FOAPAL is an </w:t>
      </w:r>
      <w:r>
        <w:t xml:space="preserve">abbreviation of the 6 main divisions of the Banner </w:t>
      </w:r>
      <w:r w:rsidR="00B5247B">
        <w:t xml:space="preserve">Financial </w:t>
      </w:r>
      <w:r>
        <w:t>system. They represent:</w:t>
      </w:r>
    </w:p>
    <w:p w:rsidR="0071345F" w:rsidRDefault="0071345F" w:rsidP="006C7060">
      <w:r w:rsidRPr="00B5247B">
        <w:rPr>
          <w:b/>
          <w:i/>
          <w:sz w:val="40"/>
          <w:szCs w:val="40"/>
          <w14:shadow w14:blurRad="60007" w14:dist="310007" w14:dir="7680000" w14:sx="100000" w14:sy="30000" w14:kx="1300200" w14:ky="0" w14:algn="ctr">
            <w14:srgbClr w14:val="000000">
              <w14:alpha w14:val="68000"/>
            </w14:srgbClr>
          </w14:shadow>
        </w:rPr>
        <w:t>F</w:t>
      </w:r>
      <w:r>
        <w:t>- Funds</w:t>
      </w:r>
    </w:p>
    <w:p w:rsidR="0071345F" w:rsidRDefault="0071345F" w:rsidP="0071345F">
      <w:r w:rsidRPr="00B5247B">
        <w:rPr>
          <w:b/>
          <w:i/>
          <w:sz w:val="40"/>
          <w:szCs w:val="40"/>
          <w14:shadow w14:blurRad="60007" w14:dist="310007" w14:dir="7680000" w14:sx="100000" w14:sy="30000" w14:kx="1300200" w14:ky="0" w14:algn="ctr">
            <w14:srgbClr w14:val="000000">
              <w14:alpha w14:val="68000"/>
            </w14:srgbClr>
          </w14:shadow>
        </w:rPr>
        <w:t>O</w:t>
      </w:r>
      <w:r>
        <w:t>- Orgs</w:t>
      </w:r>
    </w:p>
    <w:p w:rsidR="0071345F" w:rsidRDefault="0071345F" w:rsidP="0071345F">
      <w:r w:rsidRPr="00B5247B">
        <w:rPr>
          <w:b/>
          <w:i/>
          <w:sz w:val="40"/>
          <w:szCs w:val="40"/>
          <w14:shadow w14:blurRad="60007" w14:dist="310007" w14:dir="7680000" w14:sx="100000" w14:sy="30000" w14:kx="1300200" w14:ky="0" w14:algn="ctr">
            <w14:srgbClr w14:val="000000">
              <w14:alpha w14:val="68000"/>
            </w14:srgbClr>
          </w14:shadow>
        </w:rPr>
        <w:t>A</w:t>
      </w:r>
      <w:r>
        <w:t>- Accounts</w:t>
      </w:r>
    </w:p>
    <w:p w:rsidR="0071345F" w:rsidRDefault="0071345F" w:rsidP="0071345F">
      <w:r w:rsidRPr="00B5247B">
        <w:rPr>
          <w:b/>
          <w:i/>
          <w:sz w:val="40"/>
          <w:szCs w:val="40"/>
          <w14:shadow w14:blurRad="60007" w14:dist="310007" w14:dir="7680000" w14:sx="100000" w14:sy="30000" w14:kx="1300200" w14:ky="0" w14:algn="ctr">
            <w14:srgbClr w14:val="000000">
              <w14:alpha w14:val="68000"/>
            </w14:srgbClr>
          </w14:shadow>
        </w:rPr>
        <w:t>P</w:t>
      </w:r>
      <w:r>
        <w:t>- Programs</w:t>
      </w:r>
    </w:p>
    <w:p w:rsidR="0071345F" w:rsidRDefault="0071345F" w:rsidP="0071345F">
      <w:r w:rsidRPr="00B5247B">
        <w:rPr>
          <w:b/>
          <w:i/>
          <w:sz w:val="40"/>
          <w:szCs w:val="40"/>
          <w14:shadow w14:blurRad="60007" w14:dist="310007" w14:dir="7680000" w14:sx="100000" w14:sy="30000" w14:kx="1300200" w14:ky="0" w14:algn="ctr">
            <w14:srgbClr w14:val="000000">
              <w14:alpha w14:val="68000"/>
            </w14:srgbClr>
          </w14:shadow>
        </w:rPr>
        <w:t>A</w:t>
      </w:r>
      <w:r>
        <w:t>- Activity</w:t>
      </w:r>
    </w:p>
    <w:p w:rsidR="0071345F" w:rsidRDefault="0071345F" w:rsidP="0071345F">
      <w:r w:rsidRPr="00B5247B">
        <w:rPr>
          <w:b/>
          <w:i/>
          <w:sz w:val="40"/>
          <w:szCs w:val="40"/>
          <w14:shadow w14:blurRad="60007" w14:dist="310007" w14:dir="7680000" w14:sx="100000" w14:sy="30000" w14:kx="1300200" w14:ky="0" w14:algn="ctr">
            <w14:srgbClr w14:val="000000">
              <w14:alpha w14:val="68000"/>
            </w14:srgbClr>
          </w14:shadow>
        </w:rPr>
        <w:t>L</w:t>
      </w:r>
      <w:r>
        <w:t>- Location</w:t>
      </w:r>
    </w:p>
    <w:p w:rsidR="0071345F" w:rsidRDefault="0071345F" w:rsidP="006C7060">
      <w:r>
        <w:t xml:space="preserve">Here at Colgate, we use the first four divisions of the FOAPAL, or FOAP. Some institutions use </w:t>
      </w:r>
      <w:r w:rsidR="00B5247B">
        <w:t>a</w:t>
      </w:r>
      <w:r>
        <w:t xml:space="preserve">ctivity and </w:t>
      </w:r>
      <w:r w:rsidR="00B5247B">
        <w:t>l</w:t>
      </w:r>
      <w:r>
        <w:t xml:space="preserve">ocation but we currently don’t use these. Let’s define each of these so they make more sense to you. </w:t>
      </w:r>
    </w:p>
    <w:p w:rsidR="00901F06" w:rsidRDefault="00901F06" w:rsidP="006C7060"/>
    <w:p w:rsidR="0071345F" w:rsidRPr="00114121" w:rsidRDefault="00B5247B" w:rsidP="006C7060">
      <w:pPr>
        <w:rPr>
          <w:b/>
        </w:rPr>
      </w:pPr>
      <w:r>
        <w:rPr>
          <w:b/>
        </w:rPr>
        <w:t>Funds</w:t>
      </w:r>
    </w:p>
    <w:p w:rsidR="0071345F" w:rsidRDefault="0071345F" w:rsidP="006C7060">
      <w:r>
        <w:t>A fund</w:t>
      </w:r>
      <w:r w:rsidR="008444F2">
        <w:t xml:space="preserve"> is classified as </w:t>
      </w:r>
      <w:r w:rsidR="00B5247B">
        <w:t>r</w:t>
      </w:r>
      <w:r w:rsidR="008444F2">
        <w:t xml:space="preserve">estricted, </w:t>
      </w:r>
      <w:r w:rsidR="00B5247B">
        <w:t>u</w:t>
      </w:r>
      <w:r>
        <w:t xml:space="preserve">nrestricted </w:t>
      </w:r>
      <w:r w:rsidR="008444F2">
        <w:t xml:space="preserve">or </w:t>
      </w:r>
      <w:r w:rsidR="00B5247B">
        <w:t>a</w:t>
      </w:r>
      <w:r w:rsidR="008444F2">
        <w:t xml:space="preserve">gency </w:t>
      </w:r>
      <w:r>
        <w:t xml:space="preserve">and has 6 digits. Many Colgate employees primarily have responsibility for fund type 100000, the </w:t>
      </w:r>
      <w:r w:rsidR="00B5247B">
        <w:t>u</w:t>
      </w:r>
      <w:r w:rsidR="00F14052">
        <w:t>nrestricted f</w:t>
      </w:r>
      <w:r>
        <w:t xml:space="preserve">und. Another equally important fund is </w:t>
      </w:r>
      <w:r w:rsidR="00B5247B">
        <w:t>f</w:t>
      </w:r>
      <w:r>
        <w:t>und 11000</w:t>
      </w:r>
      <w:r w:rsidR="00F14052">
        <w:t xml:space="preserve">0, the </w:t>
      </w:r>
      <w:r w:rsidR="00B5247B">
        <w:t>c</w:t>
      </w:r>
      <w:r>
        <w:t>ompensation fund.</w:t>
      </w:r>
      <w:r w:rsidR="00DC645A">
        <w:t xml:space="preserve"> The </w:t>
      </w:r>
      <w:r w:rsidR="00B5247B">
        <w:t>u</w:t>
      </w:r>
      <w:r w:rsidR="00DC645A">
        <w:t xml:space="preserve">nrestricted fund is </w:t>
      </w:r>
      <w:r w:rsidR="00114121">
        <w:t xml:space="preserve">the </w:t>
      </w:r>
      <w:r w:rsidR="00DC645A">
        <w:t>focus of our annual budget process and sets the course for what Colgate accomplishes during the course of its fiscal year.</w:t>
      </w:r>
    </w:p>
    <w:p w:rsidR="00F14052" w:rsidRDefault="00F14052" w:rsidP="006C7060">
      <w:r>
        <w:lastRenderedPageBreak/>
        <w:t>Any fund that does not beg</w:t>
      </w:r>
      <w:r w:rsidR="00457F1D">
        <w:t xml:space="preserve">in with a 1 is a </w:t>
      </w:r>
      <w:r w:rsidR="00B5247B">
        <w:t>r</w:t>
      </w:r>
      <w:r w:rsidR="00457F1D">
        <w:t>estricted, endowed or agency fund</w:t>
      </w:r>
      <w:r>
        <w:t xml:space="preserve">. These include government grants, state grants, private grants and </w:t>
      </w:r>
      <w:r w:rsidR="00457F1D">
        <w:t>a</w:t>
      </w:r>
      <w:r w:rsidR="00DC645A">
        <w:t>gency funds. E</w:t>
      </w:r>
      <w:r>
        <w:t xml:space="preserve">ach one has certain rules as to when and how the money in the funds may be distributed.  Unrestricted </w:t>
      </w:r>
      <w:r w:rsidR="007437FB">
        <w:t>funds,</w:t>
      </w:r>
      <w:r>
        <w:t xml:space="preserve"> on the other hand, are est</w:t>
      </w:r>
      <w:r w:rsidR="00DC645A">
        <w:t xml:space="preserve">ablished by the budget manager </w:t>
      </w:r>
      <w:r>
        <w:t>during the budget process and are used for the d</w:t>
      </w:r>
      <w:r w:rsidR="00B5247B">
        <w:t>ay-to-day operations</w:t>
      </w:r>
      <w:r>
        <w:t>.</w:t>
      </w:r>
    </w:p>
    <w:p w:rsidR="00901F06" w:rsidRDefault="00901F06" w:rsidP="006C7060"/>
    <w:p w:rsidR="00F14052" w:rsidRPr="00114121" w:rsidRDefault="00F14052" w:rsidP="006C7060">
      <w:pPr>
        <w:rPr>
          <w:b/>
        </w:rPr>
      </w:pPr>
      <w:r w:rsidRPr="00114121">
        <w:rPr>
          <w:b/>
        </w:rPr>
        <w:t>Orgs</w:t>
      </w:r>
    </w:p>
    <w:p w:rsidR="00457F1D" w:rsidRDefault="001D5A47" w:rsidP="006C7060">
      <w:r>
        <w:t>In general</w:t>
      </w:r>
      <w:r w:rsidR="00B5247B">
        <w:t xml:space="preserve"> terms, you might think of an o</w:t>
      </w:r>
      <w:r w:rsidR="00F14052">
        <w:t>rg as a department</w:t>
      </w:r>
      <w:r w:rsidR="00457F1D">
        <w:t xml:space="preserve"> or cost center</w:t>
      </w:r>
      <w:r w:rsidR="00F14052">
        <w:t xml:space="preserve">. </w:t>
      </w:r>
      <w:r w:rsidR="00B5247B">
        <w:t>O</w:t>
      </w:r>
      <w:r w:rsidR="00F14052">
        <w:t xml:space="preserve">rgs are identified as being a 5 digit number, where any org beginning with a “0” is an income or revenue </w:t>
      </w:r>
      <w:r w:rsidR="00B5247B">
        <w:t>o</w:t>
      </w:r>
      <w:r w:rsidR="00F14052">
        <w:t xml:space="preserve">rg. </w:t>
      </w:r>
      <w:r w:rsidR="007752A7">
        <w:t xml:space="preserve">All other </w:t>
      </w:r>
      <w:r w:rsidR="00B5247B">
        <w:t>o</w:t>
      </w:r>
      <w:r w:rsidR="007752A7">
        <w:t>rgs that start with a “1” or greater are expense</w:t>
      </w:r>
      <w:r w:rsidR="00B5247B">
        <w:t xml:space="preserve"> o</w:t>
      </w:r>
      <w:r w:rsidR="007752A7">
        <w:t xml:space="preserve">rgs. Most of you will not have an Income org since they are specific to revenue producing areas. </w:t>
      </w:r>
    </w:p>
    <w:p w:rsidR="007752A7" w:rsidRDefault="001D5A47" w:rsidP="006C7060">
      <w:r>
        <w:t>As an example, i</w:t>
      </w:r>
      <w:r w:rsidR="007752A7">
        <w:t xml:space="preserve">f the Budget </w:t>
      </w:r>
      <w:r w:rsidR="00B5247B">
        <w:t>o</w:t>
      </w:r>
      <w:r w:rsidR="007752A7">
        <w:t>ffice buys</w:t>
      </w:r>
      <w:r w:rsidR="00B5247B">
        <w:t xml:space="preserve"> pens, they will be charged to org 45050, the Budget o</w:t>
      </w:r>
      <w:r w:rsidR="007752A7">
        <w:t>ffice</w:t>
      </w:r>
      <w:r w:rsidR="008C0F9B">
        <w:t xml:space="preserve"> org</w:t>
      </w:r>
      <w:r w:rsidR="007752A7">
        <w:t xml:space="preserve">. Notice how the </w:t>
      </w:r>
      <w:r w:rsidR="00B5247B">
        <w:t>o</w:t>
      </w:r>
      <w:r w:rsidR="007752A7">
        <w:t xml:space="preserve">rg begins with a number greater than “0”? </w:t>
      </w:r>
      <w:r w:rsidR="00B5247B">
        <w:t>That tells us it is an expense o</w:t>
      </w:r>
      <w:r w:rsidR="007752A7">
        <w:t xml:space="preserve">rg, not an </w:t>
      </w:r>
      <w:r w:rsidR="00B5247B">
        <w:t>income o</w:t>
      </w:r>
      <w:r w:rsidR="007752A7">
        <w:t>rg.</w:t>
      </w:r>
      <w:r w:rsidR="008C0F9B">
        <w:t xml:space="preserve"> But where in the Org will that expense go? Each expense </w:t>
      </w:r>
      <w:r w:rsidR="007437FB">
        <w:t>belongs in</w:t>
      </w:r>
      <w:r w:rsidR="008C0F9B">
        <w:t xml:space="preserve"> a certain category called an account.</w:t>
      </w:r>
    </w:p>
    <w:p w:rsidR="008C0F9B" w:rsidRDefault="008C0F9B" w:rsidP="006C7060"/>
    <w:p w:rsidR="008C0F9B" w:rsidRPr="00457F1D" w:rsidRDefault="008C0F9B" w:rsidP="006C7060">
      <w:pPr>
        <w:rPr>
          <w:b/>
        </w:rPr>
      </w:pPr>
      <w:r w:rsidRPr="00457F1D">
        <w:rPr>
          <w:b/>
        </w:rPr>
        <w:t>Account</w:t>
      </w:r>
    </w:p>
    <w:p w:rsidR="008C0F9B" w:rsidRDefault="001035B4" w:rsidP="006C7060">
      <w:r>
        <w:t>Accounts represent the natural classification of the transaction and</w:t>
      </w:r>
      <w:r w:rsidR="00B94CC3">
        <w:t xml:space="preserve"> are </w:t>
      </w:r>
      <w:r>
        <w:t>four digit numbers</w:t>
      </w:r>
      <w:r w:rsidR="00E42286">
        <w:t xml:space="preserve"> for </w:t>
      </w:r>
      <w:r w:rsidR="001D5A47">
        <w:t>r</w:t>
      </w:r>
      <w:r w:rsidR="00E42286">
        <w:t xml:space="preserve">evenue </w:t>
      </w:r>
      <w:r w:rsidR="00B94CC3">
        <w:t xml:space="preserve">and 3 digit numbers for expenses. </w:t>
      </w:r>
      <w:r w:rsidR="008A0AF4">
        <w:t>This allows b</w:t>
      </w:r>
      <w:r>
        <w:t xml:space="preserve">udget managers to see where they are spending </w:t>
      </w:r>
      <w:r w:rsidR="008A0AF4">
        <w:t>money</w:t>
      </w:r>
      <w:r w:rsidR="00B5247B">
        <w:t>. Some o</w:t>
      </w:r>
      <w:r w:rsidR="00191C26">
        <w:t>rgs will use only a few different accounts based on the types of expense</w:t>
      </w:r>
      <w:r w:rsidR="004710F1">
        <w:t>s they regularly have; others m</w:t>
      </w:r>
      <w:r w:rsidR="00191C26">
        <w:t>ight use significantly more.</w:t>
      </w:r>
      <w:r w:rsidR="008A0AF4">
        <w:t xml:space="preserve"> Some of the more popular accounts are:</w:t>
      </w:r>
    </w:p>
    <w:p w:rsidR="008A0AF4" w:rsidRDefault="008A0AF4" w:rsidP="006C7060">
      <w:r>
        <w:tab/>
      </w:r>
      <w:r w:rsidR="00E546DB">
        <w:t>202 – Minor Equipment</w:t>
      </w:r>
    </w:p>
    <w:p w:rsidR="00E546DB" w:rsidRDefault="00E546DB" w:rsidP="006C7060">
      <w:r>
        <w:tab/>
        <w:t>283 - Entertainment</w:t>
      </w:r>
    </w:p>
    <w:p w:rsidR="00E546DB" w:rsidRDefault="00E546DB" w:rsidP="006C7060">
      <w:r>
        <w:tab/>
        <w:t>299 – General Operating</w:t>
      </w:r>
      <w:r w:rsidR="008F2A2A">
        <w:t>/Supplies</w:t>
      </w:r>
    </w:p>
    <w:p w:rsidR="00E546DB" w:rsidRDefault="00E546DB" w:rsidP="006C7060">
      <w:r>
        <w:tab/>
        <w:t>316 – Postage Charges</w:t>
      </w:r>
    </w:p>
    <w:p w:rsidR="00E546DB" w:rsidRDefault="00E546DB" w:rsidP="006C7060">
      <w:r>
        <w:tab/>
        <w:t>386 – Air travel</w:t>
      </w:r>
    </w:p>
    <w:p w:rsidR="008F2A2A" w:rsidRDefault="00585F7F" w:rsidP="006C7060">
      <w:r>
        <w:t>I</w:t>
      </w:r>
      <w:r w:rsidR="008F2A2A">
        <w:t>n the example of the</w:t>
      </w:r>
      <w:r>
        <w:t xml:space="preserve"> Budget office buying pens, the pens</w:t>
      </w:r>
      <w:r w:rsidR="008F2A2A">
        <w:t xml:space="preserve"> would be charged to 100000-45050-299. What that tells us is the </w:t>
      </w:r>
      <w:r>
        <w:t xml:space="preserve">expense for the </w:t>
      </w:r>
      <w:r w:rsidR="008F2A2A">
        <w:t xml:space="preserve">pens </w:t>
      </w:r>
      <w:r>
        <w:t xml:space="preserve">was </w:t>
      </w:r>
      <w:r w:rsidR="00B5247B">
        <w:t>charged to the u</w:t>
      </w:r>
      <w:r w:rsidR="008F2A2A">
        <w:t xml:space="preserve">nrestricted </w:t>
      </w:r>
      <w:r w:rsidR="00B5247B">
        <w:t>fund (100000), for the Budget office o</w:t>
      </w:r>
      <w:r w:rsidR="008F2A2A">
        <w:t>rg (45050) and it is an expense to the General Operating/Supplies (299)</w:t>
      </w:r>
      <w:r w:rsidR="001D5A47">
        <w:t xml:space="preserve"> account</w:t>
      </w:r>
      <w:r w:rsidR="008F2A2A">
        <w:t>.</w:t>
      </w:r>
    </w:p>
    <w:p w:rsidR="00E546DB" w:rsidRDefault="00E546DB" w:rsidP="006C7060"/>
    <w:p w:rsidR="00901F06" w:rsidRDefault="00901F06" w:rsidP="006C7060"/>
    <w:p w:rsidR="004710F1" w:rsidRPr="00457F1D" w:rsidRDefault="004710F1" w:rsidP="006C7060">
      <w:pPr>
        <w:rPr>
          <w:b/>
        </w:rPr>
      </w:pPr>
      <w:r w:rsidRPr="00457F1D">
        <w:rPr>
          <w:b/>
        </w:rPr>
        <w:lastRenderedPageBreak/>
        <w:t>Program</w:t>
      </w:r>
    </w:p>
    <w:p w:rsidR="004710F1" w:rsidRDefault="001035B4" w:rsidP="004710F1">
      <w:r>
        <w:t xml:space="preserve">The </w:t>
      </w:r>
      <w:r w:rsidR="00B5247B">
        <w:t>p</w:t>
      </w:r>
      <w:r>
        <w:t>rogram</w:t>
      </w:r>
      <w:r w:rsidR="004710F1">
        <w:t xml:space="preserve"> is a four digit number used for financial reporting by </w:t>
      </w:r>
      <w:r w:rsidR="007437FB">
        <w:t xml:space="preserve">function. </w:t>
      </w:r>
      <w:r w:rsidR="004710F1">
        <w:t xml:space="preserve">The </w:t>
      </w:r>
      <w:r w:rsidR="00B5247B">
        <w:t>p</w:t>
      </w:r>
      <w:r w:rsidR="004710F1">
        <w:t xml:space="preserve">rogram can reveal the overall financial reporting classification of the budget being used. </w:t>
      </w:r>
      <w:r w:rsidR="00585F7F">
        <w:t xml:space="preserve">For example, </w:t>
      </w:r>
      <w:r w:rsidR="00B5247B">
        <w:t>p</w:t>
      </w:r>
      <w:r w:rsidR="00DC645A">
        <w:t xml:space="preserve">rograms can help an </w:t>
      </w:r>
      <w:r w:rsidR="00B5247B">
        <w:t>a</w:t>
      </w:r>
      <w:r w:rsidR="00DC645A">
        <w:t xml:space="preserve">thletics manager distinguish between </w:t>
      </w:r>
      <w:r w:rsidR="009546A0">
        <w:t>I</w:t>
      </w:r>
      <w:r>
        <w:t xml:space="preserve">ntercollegiate </w:t>
      </w:r>
      <w:r w:rsidR="009546A0">
        <w:t xml:space="preserve">Athletics </w:t>
      </w:r>
      <w:r w:rsidR="00B5247B">
        <w:t>o</w:t>
      </w:r>
      <w:r>
        <w:t xml:space="preserve">rgs and Physical Education </w:t>
      </w:r>
      <w:r w:rsidR="00B5247B">
        <w:t>o</w:t>
      </w:r>
      <w:r w:rsidR="001C47DA">
        <w:t>rgs.</w:t>
      </w:r>
      <w:r w:rsidR="00211712">
        <w:t xml:space="preserve"> The following is </w:t>
      </w:r>
      <w:r w:rsidR="00B5247B">
        <w:t>a list of common p</w:t>
      </w:r>
      <w:r w:rsidR="00211712">
        <w:t xml:space="preserve">rogram predecessors. </w:t>
      </w:r>
      <w:r>
        <w:t xml:space="preserve">Within these categories lie more detailed subcategories.  </w:t>
      </w:r>
      <w:r w:rsidR="00211712">
        <w:t xml:space="preserve">For example, </w:t>
      </w:r>
      <w:r w:rsidR="009546A0">
        <w:t>Intercollegiate A</w:t>
      </w:r>
      <w:r w:rsidR="008A0AF4">
        <w:t xml:space="preserve">thletics is </w:t>
      </w:r>
      <w:r w:rsidR="009546A0">
        <w:t xml:space="preserve">program </w:t>
      </w:r>
      <w:r w:rsidR="008A0AF4">
        <w:t xml:space="preserve">2002 and Physical Education is </w:t>
      </w:r>
      <w:r w:rsidR="009546A0">
        <w:t xml:space="preserve">program </w:t>
      </w:r>
      <w:r w:rsidR="008A0AF4">
        <w:t>2001.</w:t>
      </w:r>
    </w:p>
    <w:p w:rsidR="00211712" w:rsidRDefault="00211712" w:rsidP="004710F1">
      <w:r>
        <w:tab/>
        <w:t>1000 - Instruction</w:t>
      </w:r>
    </w:p>
    <w:p w:rsidR="00211712" w:rsidRDefault="00211712" w:rsidP="004710F1">
      <w:r>
        <w:tab/>
        <w:t>2000 - Athletics</w:t>
      </w:r>
    </w:p>
    <w:p w:rsidR="00211712" w:rsidRDefault="00211712" w:rsidP="004710F1">
      <w:r>
        <w:tab/>
        <w:t>3000 - Research</w:t>
      </w:r>
    </w:p>
    <w:p w:rsidR="00211712" w:rsidRDefault="00211712" w:rsidP="004710F1">
      <w:r>
        <w:tab/>
        <w:t>4000 - Academic Support</w:t>
      </w:r>
    </w:p>
    <w:p w:rsidR="00211712" w:rsidRDefault="00211712" w:rsidP="004710F1">
      <w:r>
        <w:tab/>
        <w:t>5000 - Student Services</w:t>
      </w:r>
    </w:p>
    <w:p w:rsidR="00211712" w:rsidRDefault="00211712" w:rsidP="004710F1">
      <w:r>
        <w:tab/>
        <w:t>6000 – Institutional Support</w:t>
      </w:r>
    </w:p>
    <w:p w:rsidR="00901F06" w:rsidRDefault="00901F06" w:rsidP="004710F1"/>
    <w:p w:rsidR="001C47DA" w:rsidRPr="00457F1D" w:rsidRDefault="001C47DA" w:rsidP="004710F1">
      <w:pPr>
        <w:rPr>
          <w:b/>
        </w:rPr>
      </w:pPr>
      <w:r w:rsidRPr="00457F1D">
        <w:rPr>
          <w:b/>
        </w:rPr>
        <w:t>Activity and Location</w:t>
      </w:r>
    </w:p>
    <w:p w:rsidR="001C47DA" w:rsidRDefault="001C47DA" w:rsidP="004710F1">
      <w:r>
        <w:t>Banner allows managers to further identify where income or expens</w:t>
      </w:r>
      <w:r w:rsidR="001035B4">
        <w:t xml:space="preserve">es are charged by assigning an </w:t>
      </w:r>
      <w:r w:rsidR="009546A0">
        <w:t>a</w:t>
      </w:r>
      <w:r>
        <w:t xml:space="preserve">ctivity and </w:t>
      </w:r>
      <w:r w:rsidR="009546A0">
        <w:t>l</w:t>
      </w:r>
      <w:r>
        <w:t>ocation. At Colgate, we do not use these final two parts of the FOAPAL.</w:t>
      </w:r>
    </w:p>
    <w:p w:rsidR="00831FEB" w:rsidRDefault="00831FEB" w:rsidP="004710F1"/>
    <w:p w:rsidR="008A0AF4" w:rsidRDefault="00901F06" w:rsidP="004710F1">
      <w:pPr>
        <w:rPr>
          <w:b/>
          <w:sz w:val="32"/>
          <w:szCs w:val="32"/>
        </w:rPr>
      </w:pPr>
      <w:r>
        <w:rPr>
          <w:b/>
          <w:sz w:val="32"/>
          <w:szCs w:val="32"/>
        </w:rPr>
        <w:t>B</w:t>
      </w:r>
      <w:r w:rsidR="00831FEB" w:rsidRPr="009546A0">
        <w:rPr>
          <w:b/>
          <w:sz w:val="32"/>
          <w:szCs w:val="32"/>
        </w:rPr>
        <w:t xml:space="preserve">udget </w:t>
      </w:r>
      <w:r>
        <w:rPr>
          <w:b/>
          <w:sz w:val="32"/>
          <w:szCs w:val="32"/>
        </w:rPr>
        <w:t>T</w:t>
      </w:r>
      <w:r w:rsidR="00831FEB" w:rsidRPr="009546A0">
        <w:rPr>
          <w:b/>
          <w:sz w:val="32"/>
          <w:szCs w:val="32"/>
        </w:rPr>
        <w:t>itles</w:t>
      </w:r>
    </w:p>
    <w:p w:rsidR="00831FEB" w:rsidRPr="00457F1D" w:rsidRDefault="00984189" w:rsidP="004710F1">
      <w:pPr>
        <w:rPr>
          <w:b/>
        </w:rPr>
      </w:pPr>
      <w:r w:rsidRPr="00457F1D">
        <w:rPr>
          <w:b/>
        </w:rPr>
        <w:t>Approved Budget</w:t>
      </w:r>
    </w:p>
    <w:p w:rsidR="00831FEB" w:rsidRDefault="00831FEB" w:rsidP="004710F1">
      <w:r>
        <w:t xml:space="preserve">When the budget process begins, managers of various departments, divisions and areas submit their budget for </w:t>
      </w:r>
      <w:r w:rsidR="001035B4">
        <w:t xml:space="preserve">the </w:t>
      </w:r>
      <w:r w:rsidR="009546A0">
        <w:t>up</w:t>
      </w:r>
      <w:r>
        <w:t xml:space="preserve">coming fiscal year. </w:t>
      </w:r>
      <w:r w:rsidR="00984189">
        <w:t>These budgets may go through several iterations before the final approval process. When the budget is finalized (t</w:t>
      </w:r>
      <w:r w:rsidR="001035B4">
        <w:t>ypically in the spring), it</w:t>
      </w:r>
      <w:r w:rsidR="00984189">
        <w:t xml:space="preserve"> becomes the </w:t>
      </w:r>
      <w:r w:rsidR="009546A0">
        <w:t>a</w:t>
      </w:r>
      <w:r w:rsidR="00984189">
        <w:t xml:space="preserve">pproved </w:t>
      </w:r>
      <w:r w:rsidR="009546A0">
        <w:t>b</w:t>
      </w:r>
      <w:r w:rsidR="00984189">
        <w:t xml:space="preserve">udget. Budget managers then use their approved budget to help them track their spending through the fiscal year. </w:t>
      </w:r>
    </w:p>
    <w:p w:rsidR="00901F06" w:rsidRDefault="00901F06" w:rsidP="004710F1"/>
    <w:p w:rsidR="00984189" w:rsidRPr="003036A3" w:rsidRDefault="00984189" w:rsidP="004710F1">
      <w:pPr>
        <w:rPr>
          <w:b/>
        </w:rPr>
      </w:pPr>
      <w:r w:rsidRPr="003036A3">
        <w:rPr>
          <w:b/>
        </w:rPr>
        <w:t>Adjusted Budget</w:t>
      </w:r>
      <w:r w:rsidR="009546A0">
        <w:rPr>
          <w:b/>
        </w:rPr>
        <w:t>/</w:t>
      </w:r>
      <w:r w:rsidR="009546A0" w:rsidRPr="003036A3">
        <w:rPr>
          <w:b/>
        </w:rPr>
        <w:t>Working Budget</w:t>
      </w:r>
    </w:p>
    <w:p w:rsidR="00C77008" w:rsidRDefault="00984189" w:rsidP="004710F1">
      <w:r>
        <w:t xml:space="preserve">In the course of a year, a manager who is responsible for multiple </w:t>
      </w:r>
      <w:r w:rsidR="009546A0">
        <w:t>o</w:t>
      </w:r>
      <w:r w:rsidR="007437FB">
        <w:t>rgs</w:t>
      </w:r>
      <w:r w:rsidR="001035B4">
        <w:t xml:space="preserve"> may find they overspent </w:t>
      </w:r>
      <w:r>
        <w:t xml:space="preserve">one of the </w:t>
      </w:r>
      <w:r w:rsidR="009546A0">
        <w:t>o</w:t>
      </w:r>
      <w:r>
        <w:t>rgs.</w:t>
      </w:r>
      <w:r w:rsidR="001035B4">
        <w:t xml:space="preserve"> T</w:t>
      </w:r>
      <w:r>
        <w:t xml:space="preserve">he manager may shift the budget from an underspent </w:t>
      </w:r>
      <w:r w:rsidR="009546A0">
        <w:t>o</w:t>
      </w:r>
      <w:r>
        <w:t xml:space="preserve">rg to the overspent </w:t>
      </w:r>
      <w:r w:rsidR="009546A0">
        <w:t>o</w:t>
      </w:r>
      <w:r>
        <w:t xml:space="preserve">rg bringing the </w:t>
      </w:r>
      <w:r w:rsidR="009546A0">
        <w:t>o</w:t>
      </w:r>
      <w:r w:rsidR="00E24F36">
        <w:t>rg back into balance by making a</w:t>
      </w:r>
      <w:r>
        <w:t xml:space="preserve"> </w:t>
      </w:r>
      <w:r w:rsidR="009546A0">
        <w:t>b</w:t>
      </w:r>
      <w:r>
        <w:t xml:space="preserve">udget </w:t>
      </w:r>
      <w:r w:rsidR="009546A0">
        <w:t>a</w:t>
      </w:r>
      <w:r>
        <w:t xml:space="preserve">djustment.  One important rule to keep in mind is that the </w:t>
      </w:r>
      <w:r>
        <w:lastRenderedPageBreak/>
        <w:t xml:space="preserve">adjustment must be in the same </w:t>
      </w:r>
      <w:r w:rsidR="009546A0">
        <w:t>f</w:t>
      </w:r>
      <w:r>
        <w:t xml:space="preserve">und. For example, a manager can move funds from an </w:t>
      </w:r>
      <w:r w:rsidR="009546A0">
        <w:t>o</w:t>
      </w:r>
      <w:r>
        <w:t xml:space="preserve">rg in </w:t>
      </w:r>
      <w:r w:rsidR="009546A0">
        <w:t>f</w:t>
      </w:r>
      <w:r>
        <w:t xml:space="preserve">und 100000 to another </w:t>
      </w:r>
      <w:r w:rsidR="009546A0">
        <w:t>o</w:t>
      </w:r>
      <w:r>
        <w:t xml:space="preserve">rg in </w:t>
      </w:r>
      <w:r w:rsidR="009546A0">
        <w:t>f</w:t>
      </w:r>
      <w:r>
        <w:t xml:space="preserve">und 100000. However, it is not possible to shift funds from a </w:t>
      </w:r>
      <w:r w:rsidR="00E24F36">
        <w:t>r</w:t>
      </w:r>
      <w:r>
        <w:t>estric</w:t>
      </w:r>
      <w:r w:rsidR="009546A0">
        <w:t xml:space="preserve">ted </w:t>
      </w:r>
      <w:r w:rsidR="00E24F36">
        <w:t>o</w:t>
      </w:r>
      <w:r w:rsidR="009546A0">
        <w:t xml:space="preserve">rg to an </w:t>
      </w:r>
      <w:r w:rsidR="00E24F36">
        <w:t>u</w:t>
      </w:r>
      <w:r w:rsidR="009546A0">
        <w:t xml:space="preserve">nrestricted </w:t>
      </w:r>
      <w:r w:rsidR="00E24F36">
        <w:t>o</w:t>
      </w:r>
      <w:r w:rsidR="009546A0">
        <w:t xml:space="preserve">rg. </w:t>
      </w:r>
      <w:r w:rsidR="002221C6">
        <w:t xml:space="preserve">The </w:t>
      </w:r>
      <w:r w:rsidR="00E24F36">
        <w:t>adjusted/w</w:t>
      </w:r>
      <w:r w:rsidR="002221C6">
        <w:t xml:space="preserve">orking </w:t>
      </w:r>
      <w:r w:rsidR="00E24F36">
        <w:t>b</w:t>
      </w:r>
      <w:r w:rsidR="002221C6">
        <w:t>udget is the most up-to-date budget available for the budget manager. It m</w:t>
      </w:r>
      <w:r w:rsidR="001035B4">
        <w:t xml:space="preserve">ay be the same as the </w:t>
      </w:r>
      <w:r w:rsidR="00E24F36">
        <w:t>a</w:t>
      </w:r>
      <w:r w:rsidR="001035B4">
        <w:t xml:space="preserve">pproved </w:t>
      </w:r>
      <w:r w:rsidR="00E24F36">
        <w:t>b</w:t>
      </w:r>
      <w:r w:rsidR="002221C6">
        <w:t xml:space="preserve">udget if there have been no budget adjustments. </w:t>
      </w:r>
    </w:p>
    <w:p w:rsidR="002221C6" w:rsidRDefault="00392997" w:rsidP="004710F1">
      <w:r>
        <w:t xml:space="preserve"> The Adjusted B</w:t>
      </w:r>
      <w:r w:rsidR="002221C6">
        <w:t>udget</w:t>
      </w:r>
      <w:r>
        <w:t xml:space="preserve"> (or Working Budget</w:t>
      </w:r>
      <w:r w:rsidR="002221C6">
        <w:t>)</w:t>
      </w:r>
      <w:r w:rsidR="00C77008">
        <w:t xml:space="preserve"> </w:t>
      </w:r>
      <w:r w:rsidR="002221C6">
        <w:t>= Approved Budget + Budget Adjustments.</w:t>
      </w:r>
    </w:p>
    <w:p w:rsidR="002221C6" w:rsidRDefault="002221C6" w:rsidP="004710F1"/>
    <w:p w:rsidR="00C77008" w:rsidRPr="003036A3" w:rsidRDefault="00C77008" w:rsidP="004710F1">
      <w:pPr>
        <w:rPr>
          <w:b/>
        </w:rPr>
      </w:pPr>
      <w:r w:rsidRPr="003036A3">
        <w:rPr>
          <w:b/>
        </w:rPr>
        <w:t>Fiscal year</w:t>
      </w:r>
    </w:p>
    <w:p w:rsidR="0062067E" w:rsidRDefault="002221C6" w:rsidP="004710F1">
      <w:r>
        <w:t xml:space="preserve">The 12 month period covered by the </w:t>
      </w:r>
      <w:r w:rsidR="00E24F36">
        <w:t>a</w:t>
      </w:r>
      <w:r>
        <w:t xml:space="preserve">pproved </w:t>
      </w:r>
      <w:r w:rsidR="00E24F36">
        <w:t>b</w:t>
      </w:r>
      <w:r>
        <w:t xml:space="preserve">udget (or </w:t>
      </w:r>
      <w:r w:rsidR="00E24F36">
        <w:t>adjusted/w</w:t>
      </w:r>
      <w:r>
        <w:t>orking</w:t>
      </w:r>
      <w:r w:rsidR="00E24F36">
        <w:t xml:space="preserve"> b</w:t>
      </w:r>
      <w:r>
        <w:t xml:space="preserve">udget) is called the </w:t>
      </w:r>
      <w:r w:rsidR="00E24F36">
        <w:t>f</w:t>
      </w:r>
      <w:r>
        <w:t xml:space="preserve">iscal </w:t>
      </w:r>
      <w:r w:rsidR="00E24F36">
        <w:t>y</w:t>
      </w:r>
      <w:r>
        <w:t xml:space="preserve">ear. At Colgate, our </w:t>
      </w:r>
      <w:r w:rsidR="00E24F36">
        <w:t xml:space="preserve">fiscal </w:t>
      </w:r>
      <w:r>
        <w:t xml:space="preserve">year begins July 1 and ends June 30. That roughly follows the </w:t>
      </w:r>
      <w:r w:rsidR="00E24F36">
        <w:t>academic</w:t>
      </w:r>
      <w:r>
        <w:t xml:space="preserve"> calendar and makes the most sense for revenue and expense tracking. </w:t>
      </w:r>
      <w:r w:rsidR="0062067E">
        <w:t xml:space="preserve">Each month within that </w:t>
      </w:r>
      <w:r w:rsidR="00E24F36">
        <w:t>f</w:t>
      </w:r>
      <w:r w:rsidR="0062067E">
        <w:t xml:space="preserve">iscal </w:t>
      </w:r>
      <w:r w:rsidR="00E24F36">
        <w:t>y</w:t>
      </w:r>
      <w:r w:rsidR="0062067E">
        <w:t xml:space="preserve">ear is called a </w:t>
      </w:r>
      <w:r w:rsidR="00E24F36">
        <w:t>p</w:t>
      </w:r>
      <w:r w:rsidR="0062067E">
        <w:t>eriod.</w:t>
      </w:r>
    </w:p>
    <w:p w:rsidR="00C77008" w:rsidRDefault="00C77008" w:rsidP="004710F1">
      <w:r>
        <w:t xml:space="preserve">In 2012, Colgate adjusted its </w:t>
      </w:r>
      <w:r w:rsidR="00E24F36">
        <w:t>f</w:t>
      </w:r>
      <w:r>
        <w:t xml:space="preserve">iscal </w:t>
      </w:r>
      <w:r w:rsidR="00E24F36">
        <w:t>y</w:t>
      </w:r>
      <w:r>
        <w:t xml:space="preserve">ear (FY) from a June 1-May 31 </w:t>
      </w:r>
      <w:r w:rsidR="00E24F36">
        <w:t>f</w:t>
      </w:r>
      <w:r w:rsidR="0062067E">
        <w:t xml:space="preserve">iscal </w:t>
      </w:r>
      <w:r w:rsidR="00E24F36">
        <w:t>y</w:t>
      </w:r>
      <w:r>
        <w:t xml:space="preserve">ear to our current July 1-June 30 </w:t>
      </w:r>
      <w:r w:rsidR="00E24F36">
        <w:t>f</w:t>
      </w:r>
      <w:r w:rsidR="0062067E">
        <w:t xml:space="preserve">iscal </w:t>
      </w:r>
      <w:r w:rsidR="00E24F36">
        <w:t>y</w:t>
      </w:r>
      <w:r>
        <w:t xml:space="preserve">ear. In order to do that, the </w:t>
      </w:r>
      <w:r w:rsidR="00E24F36">
        <w:t>f</w:t>
      </w:r>
      <w:r>
        <w:t xml:space="preserve">iscal </w:t>
      </w:r>
      <w:r w:rsidR="00E24F36">
        <w:t>y</w:t>
      </w:r>
      <w:r>
        <w:t>ear 2012 contains 13 Periods or month</w:t>
      </w:r>
      <w:r w:rsidR="003036A3">
        <w:t>s</w:t>
      </w:r>
      <w:r>
        <w:t xml:space="preserve">. Comparing </w:t>
      </w:r>
      <w:r w:rsidR="0062067E">
        <w:t xml:space="preserve">FY 2012 to any other year will be comparing 13 months of expense (or revenue) to 12 months. </w:t>
      </w:r>
    </w:p>
    <w:p w:rsidR="00901F06" w:rsidRDefault="00901F06" w:rsidP="004710F1"/>
    <w:p w:rsidR="00C77008" w:rsidRPr="003036A3" w:rsidRDefault="00C77008" w:rsidP="004710F1">
      <w:pPr>
        <w:rPr>
          <w:b/>
        </w:rPr>
      </w:pPr>
      <w:r w:rsidRPr="003036A3">
        <w:rPr>
          <w:b/>
        </w:rPr>
        <w:t xml:space="preserve">Period </w:t>
      </w:r>
    </w:p>
    <w:p w:rsidR="002221C6" w:rsidRDefault="00C77008" w:rsidP="004710F1">
      <w:r>
        <w:t xml:space="preserve">A </w:t>
      </w:r>
      <w:r w:rsidR="00373B21">
        <w:t>p</w:t>
      </w:r>
      <w:r>
        <w:t xml:space="preserve">eriod is a month long and represents a month </w:t>
      </w:r>
      <w:r w:rsidR="00373B21">
        <w:t>in the f</w:t>
      </w:r>
      <w:r>
        <w:t xml:space="preserve">iscal </w:t>
      </w:r>
      <w:r w:rsidR="00373B21">
        <w:t>y</w:t>
      </w:r>
      <w:r>
        <w:t>ear. Period 1 is the month of July, period 2 is</w:t>
      </w:r>
      <w:r w:rsidR="00373B21">
        <w:t xml:space="preserve"> August, etc. That applies for p</w:t>
      </w:r>
      <w:r>
        <w:t xml:space="preserve">eriods 1-11. However, at the fiscal year-end, the Accounting department may have some special entries to close the year. If we want to know what our full year of spending is, we use </w:t>
      </w:r>
      <w:r w:rsidR="00373B21">
        <w:t>p</w:t>
      </w:r>
      <w:r>
        <w:t xml:space="preserve">eriod 14, which captures the prior 11 </w:t>
      </w:r>
      <w:r w:rsidR="00373B21">
        <w:t>p</w:t>
      </w:r>
      <w:r>
        <w:t>eriods plus accounting adjustments, plus the last period of the year</w:t>
      </w:r>
      <w:r w:rsidR="00705C0B">
        <w:t xml:space="preserve"> (June)</w:t>
      </w:r>
      <w:r>
        <w:t>.</w:t>
      </w:r>
    </w:p>
    <w:p w:rsidR="00283FD7" w:rsidRDefault="00283FD7" w:rsidP="004710F1">
      <w:r>
        <w:tab/>
        <w:t>01 – July</w:t>
      </w:r>
    </w:p>
    <w:p w:rsidR="00283FD7" w:rsidRDefault="00283FD7" w:rsidP="004710F1">
      <w:r>
        <w:tab/>
        <w:t>02- August</w:t>
      </w:r>
    </w:p>
    <w:p w:rsidR="00283FD7" w:rsidRDefault="00283FD7" w:rsidP="004710F1">
      <w:r>
        <w:tab/>
        <w:t>03 – September</w:t>
      </w:r>
    </w:p>
    <w:p w:rsidR="00283FD7" w:rsidRDefault="00283FD7" w:rsidP="004710F1">
      <w:r>
        <w:tab/>
        <w:t>04 – October</w:t>
      </w:r>
    </w:p>
    <w:p w:rsidR="00283FD7" w:rsidRDefault="00283FD7" w:rsidP="004710F1">
      <w:r>
        <w:tab/>
        <w:t>05 – November</w:t>
      </w:r>
    </w:p>
    <w:p w:rsidR="00283FD7" w:rsidRDefault="00283FD7" w:rsidP="004710F1">
      <w:r>
        <w:tab/>
        <w:t>06- December</w:t>
      </w:r>
    </w:p>
    <w:p w:rsidR="00283FD7" w:rsidRDefault="00283FD7" w:rsidP="004710F1">
      <w:r>
        <w:tab/>
        <w:t>07 – January</w:t>
      </w:r>
    </w:p>
    <w:p w:rsidR="00283FD7" w:rsidRDefault="00283FD7" w:rsidP="004710F1">
      <w:r>
        <w:tab/>
        <w:t>08 – February</w:t>
      </w:r>
    </w:p>
    <w:p w:rsidR="00283FD7" w:rsidRDefault="00283FD7" w:rsidP="004710F1">
      <w:r>
        <w:tab/>
        <w:t>09 – March</w:t>
      </w:r>
    </w:p>
    <w:p w:rsidR="00283FD7" w:rsidRDefault="00283FD7" w:rsidP="004710F1">
      <w:r>
        <w:lastRenderedPageBreak/>
        <w:tab/>
        <w:t>10 – April</w:t>
      </w:r>
    </w:p>
    <w:p w:rsidR="00283FD7" w:rsidRDefault="00283FD7" w:rsidP="004710F1">
      <w:r>
        <w:tab/>
        <w:t>11 – May</w:t>
      </w:r>
    </w:p>
    <w:p w:rsidR="00283FD7" w:rsidRDefault="003870F5" w:rsidP="004710F1">
      <w:r>
        <w:tab/>
        <w:t>14 – June</w:t>
      </w:r>
    </w:p>
    <w:p w:rsidR="00901F06" w:rsidRDefault="00901F06" w:rsidP="004710F1">
      <w:pPr>
        <w:rPr>
          <w:b/>
        </w:rPr>
      </w:pPr>
    </w:p>
    <w:p w:rsidR="00705C0B" w:rsidRPr="003036A3" w:rsidRDefault="00705C0B" w:rsidP="004710F1">
      <w:pPr>
        <w:rPr>
          <w:b/>
        </w:rPr>
      </w:pPr>
      <w:r w:rsidRPr="003036A3">
        <w:rPr>
          <w:b/>
        </w:rPr>
        <w:t>Year-To-Date Actuals (YTD)</w:t>
      </w:r>
    </w:p>
    <w:p w:rsidR="00705C0B" w:rsidRDefault="00705C0B" w:rsidP="004710F1">
      <w:r>
        <w:t>Year-to-</w:t>
      </w:r>
      <w:r w:rsidR="00373B21">
        <w:t>d</w:t>
      </w:r>
      <w:r>
        <w:t>ate</w:t>
      </w:r>
      <w:r w:rsidR="00373B21">
        <w:t xml:space="preserve"> a</w:t>
      </w:r>
      <w:r>
        <w:t xml:space="preserve">ctuals provide a snapshot of what has currently been spent in a particular account or </w:t>
      </w:r>
      <w:r w:rsidR="00373B21">
        <w:t>o</w:t>
      </w:r>
      <w:r>
        <w:t xml:space="preserve">rg. This does not include any amounts for items currently in the ordering </w:t>
      </w:r>
      <w:r w:rsidR="003036A3">
        <w:t>process or not yet billed. Any amount</w:t>
      </w:r>
      <w:r>
        <w:t xml:space="preserve"> processed by Accounting is </w:t>
      </w:r>
      <w:r w:rsidR="006246CE">
        <w:t xml:space="preserve">included in the YTD totals. For the most accurate balance, we must add in </w:t>
      </w:r>
      <w:r w:rsidR="00373B21">
        <w:t>e</w:t>
      </w:r>
      <w:r w:rsidR="006246CE">
        <w:t>ncumbrances as well.</w:t>
      </w:r>
    </w:p>
    <w:p w:rsidR="006246CE" w:rsidRDefault="006246CE" w:rsidP="004710F1"/>
    <w:p w:rsidR="006246CE" w:rsidRPr="003036A3" w:rsidRDefault="006246CE" w:rsidP="004710F1">
      <w:pPr>
        <w:rPr>
          <w:b/>
        </w:rPr>
      </w:pPr>
      <w:r w:rsidRPr="003036A3">
        <w:rPr>
          <w:b/>
        </w:rPr>
        <w:t>Encumbrance</w:t>
      </w:r>
    </w:p>
    <w:p w:rsidR="006246CE" w:rsidRDefault="006246CE" w:rsidP="004710F1">
      <w:r>
        <w:t xml:space="preserve">An encumbrance is an amount that has been committed to purchasing an item or service but has not yet been received. Reporting encumbrances is important to help budget managers stay within their budget. </w:t>
      </w:r>
    </w:p>
    <w:p w:rsidR="00901F06" w:rsidRDefault="00901F06" w:rsidP="004710F1">
      <w:pPr>
        <w:rPr>
          <w:b/>
        </w:rPr>
      </w:pPr>
    </w:p>
    <w:p w:rsidR="006246CE" w:rsidRPr="003036A3" w:rsidRDefault="006246CE" w:rsidP="004710F1">
      <w:pPr>
        <w:rPr>
          <w:b/>
        </w:rPr>
      </w:pPr>
      <w:r w:rsidRPr="003036A3">
        <w:rPr>
          <w:b/>
        </w:rPr>
        <w:t>Available Balance</w:t>
      </w:r>
    </w:p>
    <w:p w:rsidR="003A4266" w:rsidRDefault="003A4266" w:rsidP="006246CE">
      <w:r>
        <w:t>If a manager ad</w:t>
      </w:r>
      <w:r w:rsidR="00373B21">
        <w:t>ds the encumbrances to the YTD a</w:t>
      </w:r>
      <w:r>
        <w:t xml:space="preserve">ctuals and subtracts the sum from the </w:t>
      </w:r>
      <w:r w:rsidR="00373B21">
        <w:t>adjusted/</w:t>
      </w:r>
      <w:r w:rsidR="00B6516B">
        <w:t>working budget</w:t>
      </w:r>
      <w:r>
        <w:t xml:space="preserve">, that will equal the </w:t>
      </w:r>
      <w:r w:rsidR="00373B21">
        <w:t>a</w:t>
      </w:r>
      <w:r>
        <w:t xml:space="preserve">vailable </w:t>
      </w:r>
      <w:r w:rsidR="00373B21">
        <w:t>b</w:t>
      </w:r>
      <w:r>
        <w:t xml:space="preserve">alance. The </w:t>
      </w:r>
      <w:r w:rsidR="00373B21">
        <w:t>available b</w:t>
      </w:r>
      <w:r>
        <w:t xml:space="preserve">alance is the amount available for the remainder of the </w:t>
      </w:r>
      <w:r w:rsidR="00373B21">
        <w:t>f</w:t>
      </w:r>
      <w:r>
        <w:t xml:space="preserve">iscal </w:t>
      </w:r>
      <w:r w:rsidR="00373B21">
        <w:t>year. If the balance for the o</w:t>
      </w:r>
      <w:r>
        <w:t>rg is negative, adjustment</w:t>
      </w:r>
      <w:r w:rsidR="00373B21">
        <w:t>s need to be made to bring the o</w:t>
      </w:r>
      <w:r>
        <w:t>rg into balance.</w:t>
      </w:r>
    </w:p>
    <w:p w:rsidR="006246CE" w:rsidRDefault="002858D1" w:rsidP="006246CE">
      <w:r>
        <w:t xml:space="preserve">The Adjusted/Working </w:t>
      </w:r>
      <w:r w:rsidR="006246CE">
        <w:t>Budget – (YTD Actuals + Encumbrance</w:t>
      </w:r>
      <w:r w:rsidR="007437FB">
        <w:t>) =</w:t>
      </w:r>
      <w:r w:rsidR="006246CE">
        <w:t>Available Balance.</w:t>
      </w:r>
    </w:p>
    <w:p w:rsidR="0063248F" w:rsidRDefault="0063248F" w:rsidP="006246CE"/>
    <w:p w:rsidR="004A38F2" w:rsidRDefault="004A38F2" w:rsidP="00440C80"/>
    <w:p w:rsidR="00392997" w:rsidRDefault="00392997">
      <w:r>
        <w:br w:type="page"/>
      </w:r>
    </w:p>
    <w:p w:rsidR="00114121" w:rsidRPr="00114121" w:rsidRDefault="00114121" w:rsidP="00114121">
      <w:pPr>
        <w:rPr>
          <w:b/>
          <w:u w:val="single"/>
        </w:rPr>
      </w:pPr>
      <w:r w:rsidRPr="00114121">
        <w:rPr>
          <w:b/>
          <w:u w:val="single"/>
        </w:rPr>
        <w:lastRenderedPageBreak/>
        <w:t xml:space="preserve">Budget </w:t>
      </w:r>
      <w:r w:rsidR="00901F06">
        <w:rPr>
          <w:b/>
          <w:u w:val="single"/>
        </w:rPr>
        <w:t>Terminology</w:t>
      </w:r>
    </w:p>
    <w:p w:rsidR="00114121" w:rsidRDefault="00114121" w:rsidP="00114121">
      <w:r>
        <w:t xml:space="preserve">• </w:t>
      </w:r>
      <w:r w:rsidRPr="00901F06">
        <w:rPr>
          <w:b/>
        </w:rPr>
        <w:t>Account</w:t>
      </w:r>
      <w:r>
        <w:t xml:space="preserve"> – a specific category for a transaction; (e.g. office supplies, minor equipment)</w:t>
      </w:r>
    </w:p>
    <w:p w:rsidR="00114121" w:rsidRDefault="00114121" w:rsidP="00114121">
      <w:r>
        <w:t xml:space="preserve">• </w:t>
      </w:r>
      <w:r w:rsidRPr="00901F06">
        <w:rPr>
          <w:b/>
        </w:rPr>
        <w:t>Adjusted Budget</w:t>
      </w:r>
      <w:r>
        <w:t xml:space="preserve"> – Approved Budget with any changes during the year (also </w:t>
      </w:r>
      <w:r w:rsidR="00901F06">
        <w:t xml:space="preserve">referred to as </w:t>
      </w:r>
      <w:r>
        <w:t>Working Budget)</w:t>
      </w:r>
    </w:p>
    <w:p w:rsidR="00114121" w:rsidRDefault="00114121" w:rsidP="00114121">
      <w:r>
        <w:t xml:space="preserve">• </w:t>
      </w:r>
      <w:r w:rsidRPr="00901F06">
        <w:rPr>
          <w:b/>
        </w:rPr>
        <w:t>Approved Budget</w:t>
      </w:r>
      <w:r>
        <w:t xml:space="preserve"> – Budget at beginning of year that was submitted and approved during the budget process</w:t>
      </w:r>
    </w:p>
    <w:p w:rsidR="00114121" w:rsidRDefault="00114121" w:rsidP="00114121">
      <w:r>
        <w:t xml:space="preserve">• </w:t>
      </w:r>
      <w:r w:rsidRPr="00901F06">
        <w:rPr>
          <w:b/>
        </w:rPr>
        <w:t>Available Balance</w:t>
      </w:r>
      <w:r>
        <w:t xml:space="preserve"> – Total Adjusted Budget less (YTD Actuals + Encumbrances)</w:t>
      </w:r>
    </w:p>
    <w:p w:rsidR="00114121" w:rsidRDefault="00114121" w:rsidP="00114121">
      <w:r>
        <w:t xml:space="preserve">• </w:t>
      </w:r>
      <w:r w:rsidRPr="00901F06">
        <w:rPr>
          <w:b/>
        </w:rPr>
        <w:t>Budget</w:t>
      </w:r>
      <w:r>
        <w:t xml:space="preserve"> – An estimate of how much one’s department or Org will spend (or bring in) during the fiscal year</w:t>
      </w:r>
    </w:p>
    <w:p w:rsidR="00114121" w:rsidRDefault="00114121" w:rsidP="00114121">
      <w:r>
        <w:t xml:space="preserve">• </w:t>
      </w:r>
      <w:r w:rsidRPr="00901F06">
        <w:rPr>
          <w:b/>
        </w:rPr>
        <w:t>Budget Adjustments</w:t>
      </w:r>
      <w:r>
        <w:t xml:space="preserve"> – Changes to the </w:t>
      </w:r>
      <w:r w:rsidR="0039438C">
        <w:t>a</w:t>
      </w:r>
      <w:r>
        <w:t>pproved budget</w:t>
      </w:r>
      <w:r w:rsidR="0039438C">
        <w:t xml:space="preserve"> where a budget manager moves budgeted monies from one of their orgs to another to keep their budget in balance.</w:t>
      </w:r>
    </w:p>
    <w:p w:rsidR="00114121" w:rsidRDefault="00114121" w:rsidP="00114121">
      <w:r>
        <w:tab/>
        <w:t>BD01 – Approved Budget</w:t>
      </w:r>
    </w:p>
    <w:p w:rsidR="00114121" w:rsidRDefault="00114121" w:rsidP="00114121">
      <w:r>
        <w:tab/>
        <w:t>BD02 – Permanent Budget Adjustment (current year and future years, unless changed)</w:t>
      </w:r>
    </w:p>
    <w:p w:rsidR="00114121" w:rsidRDefault="00114121" w:rsidP="00114121">
      <w:r>
        <w:tab/>
        <w:t>BD04 – Temporary Budget Adjustment (only for current year)</w:t>
      </w:r>
    </w:p>
    <w:p w:rsidR="00B6516B" w:rsidRDefault="00B6516B" w:rsidP="00114121">
      <w:r>
        <w:tab/>
      </w:r>
      <w:r w:rsidR="00DF4DD4">
        <w:t>BD05</w:t>
      </w:r>
      <w:r>
        <w:t>- Self-serve temporary budget adjustment input by user</w:t>
      </w:r>
    </w:p>
    <w:p w:rsidR="00114121" w:rsidRDefault="00114121" w:rsidP="00114121">
      <w:r>
        <w:t>•</w:t>
      </w:r>
      <w:r w:rsidRPr="00901F06">
        <w:rPr>
          <w:b/>
        </w:rPr>
        <w:t>Chart of Accounts</w:t>
      </w:r>
      <w:r>
        <w:t>- where all transactions for the institution take place. Larger institutions may have several charts. Colgate has one.</w:t>
      </w:r>
    </w:p>
    <w:p w:rsidR="00114121" w:rsidRDefault="00114121" w:rsidP="00114121">
      <w:r>
        <w:t xml:space="preserve">• </w:t>
      </w:r>
      <w:r w:rsidRPr="00901F06">
        <w:rPr>
          <w:b/>
        </w:rPr>
        <w:t>Encumbrances</w:t>
      </w:r>
      <w:r>
        <w:t xml:space="preserve"> – Charges that are in process but have not yet cleared accounting, often in the Purchase Order process</w:t>
      </w:r>
    </w:p>
    <w:p w:rsidR="00114121" w:rsidRDefault="00114121" w:rsidP="00114121">
      <w:r>
        <w:t>•</w:t>
      </w:r>
      <w:r w:rsidRPr="00901F06">
        <w:rPr>
          <w:b/>
        </w:rPr>
        <w:t>Fiscal Year</w:t>
      </w:r>
      <w:r>
        <w:t xml:space="preserve"> – A twelve month period for a particular budget. At Colgate, it is July 1 – June 30.</w:t>
      </w:r>
    </w:p>
    <w:p w:rsidR="00114121" w:rsidRDefault="00114121" w:rsidP="00114121">
      <w:r>
        <w:t xml:space="preserve">• </w:t>
      </w:r>
      <w:r w:rsidRPr="00901F06">
        <w:rPr>
          <w:b/>
        </w:rPr>
        <w:t xml:space="preserve">Fund </w:t>
      </w:r>
      <w:r>
        <w:t xml:space="preserve">– an accounting entity with specific rules regarding its disposition. </w:t>
      </w:r>
    </w:p>
    <w:p w:rsidR="00114121" w:rsidRDefault="00114121" w:rsidP="00114121">
      <w:pPr>
        <w:ind w:firstLine="720"/>
      </w:pPr>
      <w:r>
        <w:t>Unrestricted funds - may be spent however the institution determines</w:t>
      </w:r>
    </w:p>
    <w:p w:rsidR="00114121" w:rsidRDefault="00114121" w:rsidP="00114121">
      <w:pPr>
        <w:ind w:firstLine="720"/>
      </w:pPr>
      <w:r>
        <w:t xml:space="preserve">Restricted funds - have specific rules how and where the money can be spent </w:t>
      </w:r>
    </w:p>
    <w:p w:rsidR="00114121" w:rsidRDefault="00114121" w:rsidP="00114121">
      <w:pPr>
        <w:ind w:firstLine="720"/>
      </w:pPr>
      <w:r>
        <w:t>Agency Funds – Funds with money specifically raised and distributed to a certain area</w:t>
      </w:r>
    </w:p>
    <w:p w:rsidR="00114121" w:rsidRDefault="00114121" w:rsidP="00114121">
      <w:r>
        <w:t>•</w:t>
      </w:r>
      <w:r w:rsidRPr="00901F06">
        <w:rPr>
          <w:b/>
        </w:rPr>
        <w:t>Org</w:t>
      </w:r>
      <w:r>
        <w:t xml:space="preserve"> – a department or cost </w:t>
      </w:r>
      <w:r w:rsidR="00B6516B">
        <w:t>center within</w:t>
      </w:r>
      <w:r>
        <w:t xml:space="preserve"> the institution</w:t>
      </w:r>
    </w:p>
    <w:p w:rsidR="00114121" w:rsidRDefault="00114121" w:rsidP="00114121">
      <w:r>
        <w:t>•</w:t>
      </w:r>
      <w:r w:rsidRPr="00901F06">
        <w:rPr>
          <w:b/>
        </w:rPr>
        <w:t>Periods</w:t>
      </w:r>
      <w:r>
        <w:t xml:space="preserve"> – a month within the fiscal year</w:t>
      </w:r>
    </w:p>
    <w:p w:rsidR="00114121" w:rsidRDefault="0039438C" w:rsidP="00114121">
      <w:r>
        <w:t>•</w:t>
      </w:r>
      <w:r w:rsidR="00114121" w:rsidRPr="00901F06">
        <w:rPr>
          <w:b/>
        </w:rPr>
        <w:t>Program</w:t>
      </w:r>
      <w:r w:rsidR="00114121">
        <w:t xml:space="preserve"> – identifies a function and allows for further classification by the institution</w:t>
      </w:r>
    </w:p>
    <w:p w:rsidR="0039438C" w:rsidRDefault="0039438C" w:rsidP="00114121">
      <w:r>
        <w:lastRenderedPageBreak/>
        <w:t xml:space="preserve">• </w:t>
      </w:r>
      <w:r w:rsidRPr="00901F06">
        <w:rPr>
          <w:b/>
        </w:rPr>
        <w:t>Transfer of Charges</w:t>
      </w:r>
      <w:r>
        <w:t xml:space="preserve"> – movement of actual expenses from one org or account to another. This transfer may be only performed by Accounting. </w:t>
      </w:r>
    </w:p>
    <w:p w:rsidR="00114121" w:rsidRDefault="00114121" w:rsidP="00114121">
      <w:r>
        <w:t xml:space="preserve">• </w:t>
      </w:r>
      <w:r w:rsidRPr="00901F06">
        <w:rPr>
          <w:b/>
        </w:rPr>
        <w:t>Working Budget</w:t>
      </w:r>
      <w:r>
        <w:t xml:space="preserve"> – Approved Budget plus budget adjustments made throughout the year</w:t>
      </w:r>
      <w:r w:rsidR="00901F06">
        <w:t xml:space="preserve"> (also referred to as the Adjusted Budget).</w:t>
      </w:r>
    </w:p>
    <w:p w:rsidR="00114121" w:rsidRDefault="00114121" w:rsidP="00114121">
      <w:r>
        <w:t xml:space="preserve">• </w:t>
      </w:r>
      <w:r w:rsidRPr="00901F06">
        <w:rPr>
          <w:b/>
        </w:rPr>
        <w:t>Year to Date Actuals</w:t>
      </w:r>
      <w:r>
        <w:t xml:space="preserve"> – Actual expenses through the current month</w:t>
      </w:r>
    </w:p>
    <w:sectPr w:rsidR="00114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E3C"/>
    <w:multiLevelType w:val="hybridMultilevel"/>
    <w:tmpl w:val="906A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D5538"/>
    <w:multiLevelType w:val="hybridMultilevel"/>
    <w:tmpl w:val="6882A6E0"/>
    <w:lvl w:ilvl="0" w:tplc="0AC0D7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F1B7B"/>
    <w:multiLevelType w:val="hybridMultilevel"/>
    <w:tmpl w:val="FF32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90A82"/>
    <w:multiLevelType w:val="hybridMultilevel"/>
    <w:tmpl w:val="F762361C"/>
    <w:lvl w:ilvl="0" w:tplc="A0EE40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60"/>
    <w:rsid w:val="00022E6F"/>
    <w:rsid w:val="0006734C"/>
    <w:rsid w:val="00084F61"/>
    <w:rsid w:val="001035B4"/>
    <w:rsid w:val="00111D7E"/>
    <w:rsid w:val="001121B9"/>
    <w:rsid w:val="00113725"/>
    <w:rsid w:val="00114121"/>
    <w:rsid w:val="00135068"/>
    <w:rsid w:val="00191C26"/>
    <w:rsid w:val="001C47DA"/>
    <w:rsid w:val="001D3ED4"/>
    <w:rsid w:val="001D5A47"/>
    <w:rsid w:val="00211712"/>
    <w:rsid w:val="0021645B"/>
    <w:rsid w:val="002221C6"/>
    <w:rsid w:val="00283FD7"/>
    <w:rsid w:val="002858D1"/>
    <w:rsid w:val="003036A3"/>
    <w:rsid w:val="00373B21"/>
    <w:rsid w:val="003870F5"/>
    <w:rsid w:val="00392997"/>
    <w:rsid w:val="0039438C"/>
    <w:rsid w:val="003A4266"/>
    <w:rsid w:val="00437FA9"/>
    <w:rsid w:val="00440C80"/>
    <w:rsid w:val="00450325"/>
    <w:rsid w:val="00457F1D"/>
    <w:rsid w:val="004710F1"/>
    <w:rsid w:val="00471C40"/>
    <w:rsid w:val="0048386F"/>
    <w:rsid w:val="004A0651"/>
    <w:rsid w:val="004A38F2"/>
    <w:rsid w:val="004C73DF"/>
    <w:rsid w:val="00524675"/>
    <w:rsid w:val="005358B0"/>
    <w:rsid w:val="00535A4F"/>
    <w:rsid w:val="00585F7F"/>
    <w:rsid w:val="005F02C7"/>
    <w:rsid w:val="0062067E"/>
    <w:rsid w:val="006246CE"/>
    <w:rsid w:val="0063248F"/>
    <w:rsid w:val="006C7060"/>
    <w:rsid w:val="00705C0B"/>
    <w:rsid w:val="0071345F"/>
    <w:rsid w:val="00713E6C"/>
    <w:rsid w:val="00720885"/>
    <w:rsid w:val="00736CF7"/>
    <w:rsid w:val="007437FB"/>
    <w:rsid w:val="00773645"/>
    <w:rsid w:val="007752A7"/>
    <w:rsid w:val="00781267"/>
    <w:rsid w:val="007A27A6"/>
    <w:rsid w:val="00831FEB"/>
    <w:rsid w:val="008444F2"/>
    <w:rsid w:val="008A0AF4"/>
    <w:rsid w:val="008C0F9B"/>
    <w:rsid w:val="008F2A2A"/>
    <w:rsid w:val="00901F06"/>
    <w:rsid w:val="00921D8A"/>
    <w:rsid w:val="009546A0"/>
    <w:rsid w:val="00967E55"/>
    <w:rsid w:val="0098203C"/>
    <w:rsid w:val="00984189"/>
    <w:rsid w:val="00A20AC0"/>
    <w:rsid w:val="00B5247B"/>
    <w:rsid w:val="00B6516B"/>
    <w:rsid w:val="00B7178C"/>
    <w:rsid w:val="00B94CC3"/>
    <w:rsid w:val="00C77008"/>
    <w:rsid w:val="00D601EF"/>
    <w:rsid w:val="00DC645A"/>
    <w:rsid w:val="00DF4DD4"/>
    <w:rsid w:val="00E24F36"/>
    <w:rsid w:val="00E42286"/>
    <w:rsid w:val="00E546DB"/>
    <w:rsid w:val="00EB10AC"/>
    <w:rsid w:val="00EE3569"/>
    <w:rsid w:val="00EE5940"/>
    <w:rsid w:val="00F14052"/>
    <w:rsid w:val="00F7324C"/>
    <w:rsid w:val="00F9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45F"/>
    <w:pPr>
      <w:ind w:left="720"/>
      <w:contextualSpacing/>
    </w:pPr>
  </w:style>
  <w:style w:type="paragraph" w:styleId="BalloonText">
    <w:name w:val="Balloon Text"/>
    <w:basedOn w:val="Normal"/>
    <w:link w:val="BalloonTextChar"/>
    <w:uiPriority w:val="99"/>
    <w:semiHidden/>
    <w:unhideWhenUsed/>
    <w:rsid w:val="00743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45F"/>
    <w:pPr>
      <w:ind w:left="720"/>
      <w:contextualSpacing/>
    </w:pPr>
  </w:style>
  <w:style w:type="paragraph" w:styleId="BalloonText">
    <w:name w:val="Balloon Text"/>
    <w:basedOn w:val="Normal"/>
    <w:link w:val="BalloonTextChar"/>
    <w:uiPriority w:val="99"/>
    <w:semiHidden/>
    <w:unhideWhenUsed/>
    <w:rsid w:val="00743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aporter</cp:lastModifiedBy>
  <cp:revision>2</cp:revision>
  <cp:lastPrinted>2014-05-29T13:50:00Z</cp:lastPrinted>
  <dcterms:created xsi:type="dcterms:W3CDTF">2014-06-27T18:48:00Z</dcterms:created>
  <dcterms:modified xsi:type="dcterms:W3CDTF">2014-06-27T18:48:00Z</dcterms:modified>
</cp:coreProperties>
</file>